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1933" w14:textId="77777777" w:rsidR="00B17058" w:rsidRPr="00B17058" w:rsidRDefault="00B17058" w:rsidP="00B1705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cs-CZ"/>
        </w:rPr>
      </w:pPr>
      <w:r w:rsidRPr="00B17058">
        <w:rPr>
          <w:rFonts w:eastAsia="Times New Roman"/>
          <w:b/>
          <w:bCs/>
          <w:sz w:val="27"/>
          <w:szCs w:val="27"/>
          <w:lang w:eastAsia="cs-CZ"/>
        </w:rPr>
        <w:t>Náplň činnosti výchovného poradce</w:t>
      </w:r>
    </w:p>
    <w:p w14:paraId="2C0A7745" w14:textId="77777777" w:rsidR="00B17058" w:rsidRPr="00B17058" w:rsidRDefault="00B17058" w:rsidP="00B17058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Výchovný poradce  vykonává činnosti poradenské, koordina</w:t>
      </w:r>
      <w:r>
        <w:rPr>
          <w:rFonts w:eastAsia="Times New Roman"/>
          <w:lang w:eastAsia="cs-CZ"/>
        </w:rPr>
        <w:t>ční, informační a  metodické. O </w:t>
      </w:r>
      <w:r w:rsidRPr="00B17058">
        <w:rPr>
          <w:rFonts w:eastAsia="Times New Roman"/>
          <w:lang w:eastAsia="cs-CZ"/>
        </w:rPr>
        <w:t>těchto činnostech vede písemnou dokumentaci.</w:t>
      </w:r>
    </w:p>
    <w:p w14:paraId="288E5F52" w14:textId="77777777" w:rsidR="00B17058" w:rsidRPr="00B17058" w:rsidRDefault="00B17058" w:rsidP="00B17058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lang w:eastAsia="cs-CZ"/>
        </w:rPr>
      </w:pPr>
      <w:r w:rsidRPr="00B17058">
        <w:rPr>
          <w:rFonts w:eastAsia="Times New Roman"/>
          <w:b/>
          <w:bCs/>
          <w:lang w:eastAsia="cs-CZ"/>
        </w:rPr>
        <w:t>1. Poradenské činnosti</w:t>
      </w:r>
    </w:p>
    <w:p w14:paraId="78EB8AAD" w14:textId="77777777" w:rsidR="00B17058" w:rsidRPr="00B17058" w:rsidRDefault="00B17058" w:rsidP="00B17058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A) Kariérové poradenství a poradenská pomoc při rozhodování o další vzdělávací a profesní cestě žáků, tj. zejména:</w:t>
      </w:r>
    </w:p>
    <w:p w14:paraId="7F341065" w14:textId="77777777" w:rsidR="00B17058" w:rsidRPr="00B17058" w:rsidRDefault="00B17058" w:rsidP="00B17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Koordinace mezi hlavními oblastmi kariérového poradenství – kariérovým vzděláváním a diagnosticko-poradenskými činnosti zaměřenými k volbě vzdělávací cesty žáka.</w:t>
      </w:r>
    </w:p>
    <w:p w14:paraId="0B65F525" w14:textId="77777777" w:rsidR="00B17058" w:rsidRPr="00B17058" w:rsidRDefault="00B17058" w:rsidP="00B17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Základní skupinová šetření k volbě povolání, administraci, zpracování a interpretaci zájmových dotazníků v rámci vlastní odborné kompetence a analýzy preferencí v oblasti volby povolání žáků.</w:t>
      </w:r>
    </w:p>
    <w:p w14:paraId="617A490F" w14:textId="77777777" w:rsidR="00B17058" w:rsidRPr="00B17058" w:rsidRDefault="00B17058" w:rsidP="00B17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Individuální šetření k volbě povolání a individuální poradenství v této oblasti (ve spolupráci s třídním učitelem).</w:t>
      </w:r>
    </w:p>
    <w:p w14:paraId="2B519C44" w14:textId="77777777" w:rsidR="00B17058" w:rsidRPr="00B17058" w:rsidRDefault="00B17058" w:rsidP="00B17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Poradenství zákonným zástupcům s ohledem na očekávání a předpoklady žáků (ve spolupráci s třídním učitelem).</w:t>
      </w:r>
    </w:p>
    <w:p w14:paraId="74E4B20B" w14:textId="77777777" w:rsidR="00B17058" w:rsidRPr="00B17058" w:rsidRDefault="00B17058" w:rsidP="00B17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Spolupráce se školskými poradenskými zařízeními (pedagogicko-psychologická poradna, speciálně pedagogické centrum) a středisky výchovné péče při zajišťování poradenských služeb přesahujících kompetence školy.</w:t>
      </w:r>
    </w:p>
    <w:p w14:paraId="048F4BEE" w14:textId="77777777" w:rsidR="00B17058" w:rsidRPr="00B17058" w:rsidRDefault="00B17058" w:rsidP="00B17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Zajišťování skupinových návštěv žáků školy v informačních poradenských střediscích, úřadů práce a poskytování informací žákům a zákonným zástupcům o možnosti individuálního využití informačních služeb těchto středisek.</w:t>
      </w:r>
    </w:p>
    <w:p w14:paraId="0860ADB9" w14:textId="77777777" w:rsidR="00B17058" w:rsidRPr="00B17058" w:rsidRDefault="00B17058" w:rsidP="00B17058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B) Vyhledávání a orientační šetření žáků, jejichž vývoj a vzdělávání vyžadují zvláštní pozornost a příprava návrhů na další péči o tyto žáky.</w:t>
      </w:r>
    </w:p>
    <w:p w14:paraId="7FF557E3" w14:textId="77777777" w:rsidR="00B17058" w:rsidRPr="00B17058" w:rsidRDefault="00B17058" w:rsidP="00B17058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C) Zajišťování nebo zprostředkování diagnostiky speciálních</w:t>
      </w:r>
      <w:r>
        <w:rPr>
          <w:rFonts w:eastAsia="Times New Roman"/>
          <w:lang w:eastAsia="cs-CZ"/>
        </w:rPr>
        <w:t xml:space="preserve"> vzdělávacích potřeb (vstupní a </w:t>
      </w:r>
      <w:r w:rsidRPr="00B17058">
        <w:rPr>
          <w:rFonts w:eastAsia="Times New Roman"/>
          <w:lang w:eastAsia="cs-CZ"/>
        </w:rPr>
        <w:t>průběžné) a intervenčních činností pro žáky se speciálními vzdělávacími potřebami.</w:t>
      </w:r>
    </w:p>
    <w:p w14:paraId="02399CD3" w14:textId="77777777" w:rsidR="00B17058" w:rsidRPr="00B17058" w:rsidRDefault="00B17058" w:rsidP="00B17058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D) Příprava podmínek pro integraci žáků se zdravotním postižením ve škole, koordinace poskytování poradenských služeb těmto žákům školou a školskými poradenskými zařízeními a koordinace vzdělávacích opatření u těchto žáků.</w:t>
      </w:r>
    </w:p>
    <w:p w14:paraId="7741F9C7" w14:textId="77777777" w:rsidR="00B17058" w:rsidRPr="00B17058" w:rsidRDefault="00B17058" w:rsidP="00B17058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E) Poskytování služeb kariérového poradenství žákům/cizincům se zřetelem k jejich speciálním vzdělávacím potřebám.</w:t>
      </w:r>
    </w:p>
    <w:p w14:paraId="3918512A" w14:textId="77777777" w:rsidR="00B17058" w:rsidRPr="00B17058" w:rsidRDefault="00B17058" w:rsidP="00B17058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lang w:eastAsia="cs-CZ"/>
        </w:rPr>
      </w:pPr>
      <w:r w:rsidRPr="00B17058">
        <w:rPr>
          <w:rFonts w:eastAsia="Times New Roman"/>
          <w:b/>
          <w:bCs/>
          <w:lang w:eastAsia="cs-CZ"/>
        </w:rPr>
        <w:t>2.  Metodické a informační činnosti</w:t>
      </w:r>
    </w:p>
    <w:p w14:paraId="74EE8B33" w14:textId="77777777" w:rsidR="00B17058" w:rsidRPr="00B17058" w:rsidRDefault="00B17058" w:rsidP="00B17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Zprostředkování  nových metod pedagogické diagnostiky a intervence.</w:t>
      </w:r>
    </w:p>
    <w:p w14:paraId="7E5F26A6" w14:textId="77777777" w:rsidR="00B17058" w:rsidRPr="00B17058" w:rsidRDefault="00B17058" w:rsidP="00B17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Metodická pomoc pedagogickým pracovníkům školy v otázkách kariérového rozhodování žáků, integrace, individuálních vzdělávacích plánů, práce s nadanými žáky apod.</w:t>
      </w:r>
    </w:p>
    <w:p w14:paraId="235AA9B7" w14:textId="77777777" w:rsidR="00B17058" w:rsidRPr="00B17058" w:rsidRDefault="00B17058" w:rsidP="00B17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Předávání odborných informací z oblasti kariérového poradenství a péče o žáky se speciálními vzdělávacími potřebami pedagogickým pracovníkům školy.</w:t>
      </w:r>
    </w:p>
    <w:p w14:paraId="682D8B40" w14:textId="77777777" w:rsidR="00B17058" w:rsidRPr="00B17058" w:rsidRDefault="00B17058" w:rsidP="00B17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lastRenderedPageBreak/>
        <w:t>Poskytování informací o činnosti školy, školských a dalších poradenských zařízeních v regionu, o jejich zaměření, kompetencích a o možnostech využívání jejich služeb žákům a jejich zákonným zástupcům.</w:t>
      </w:r>
    </w:p>
    <w:p w14:paraId="3643F1D0" w14:textId="77777777" w:rsidR="00B17058" w:rsidRPr="00B17058" w:rsidRDefault="00B17058" w:rsidP="00B17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>Shromažďování odborných zpráv a informací o žácích v poradenské péči dalších poradenských zařízení a jejich zajištění v souladu s předpisy o ochraně osobních údajů.</w:t>
      </w:r>
    </w:p>
    <w:p w14:paraId="67A0910D" w14:textId="77777777" w:rsidR="00B17058" w:rsidRDefault="00B17058" w:rsidP="00B17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B17058">
        <w:rPr>
          <w:rFonts w:eastAsia="Times New Roman"/>
          <w:lang w:eastAsia="cs-CZ"/>
        </w:rPr>
        <w:t xml:space="preserve">Vedení písemných záznamů umožňujících doložit rozsah a obsah činnosti výchovného poradce, navržená a realizovaná opatření. </w:t>
      </w:r>
    </w:p>
    <w:p w14:paraId="3BE318B7" w14:textId="2179611E" w:rsidR="00D679D1" w:rsidRDefault="00552C76" w:rsidP="00D679D1">
      <w:pPr>
        <w:spacing w:before="100" w:beforeAutospacing="1" w:after="100" w:afterAutospacing="1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 xml:space="preserve">Zdroj: </w:t>
      </w:r>
      <w:hyperlink r:id="rId7" w:history="1">
        <w:r w:rsidR="00C87B78" w:rsidRPr="00A0233E">
          <w:rPr>
            <w:rStyle w:val="Hypertextovodkaz"/>
            <w:rFonts w:eastAsia="Times New Roman"/>
            <w:i/>
            <w:lang w:eastAsia="cs-CZ"/>
          </w:rPr>
          <w:t>http://www.msmt.cz</w:t>
        </w:r>
      </w:hyperlink>
    </w:p>
    <w:p w14:paraId="15EC1917" w14:textId="6956EF43" w:rsidR="003C14B3" w:rsidRPr="00150590" w:rsidRDefault="003C14B3" w:rsidP="00150590">
      <w:pPr>
        <w:shd w:val="clear" w:color="auto" w:fill="FFFFFF"/>
        <w:spacing w:before="300" w:after="300" w:line="360" w:lineRule="atLeast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u w:val="single"/>
          <w:lang w:eastAsia="cs-CZ"/>
        </w:rPr>
      </w:pPr>
      <w:r w:rsidRPr="00150590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u w:val="single"/>
          <w:lang w:eastAsia="cs-CZ"/>
        </w:rPr>
        <w:t xml:space="preserve">Zpřesnění podle: </w:t>
      </w:r>
      <w:r w:rsidR="008612A7" w:rsidRPr="00150590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u w:val="single"/>
          <w:lang w:eastAsia="cs-CZ"/>
        </w:rPr>
        <w:t xml:space="preserve">NPI, </w:t>
      </w:r>
      <w:r w:rsidR="00150590" w:rsidRPr="00150590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u w:val="single"/>
          <w:lang w:eastAsia="cs-CZ"/>
        </w:rPr>
        <w:t>Metodický portál RVP</w:t>
      </w:r>
    </w:p>
    <w:p w14:paraId="37C68BF6" w14:textId="53163495" w:rsidR="00C87B78" w:rsidRPr="00F36063" w:rsidRDefault="00C87B78" w:rsidP="00F36063">
      <w:pPr>
        <w:pStyle w:val="Odstavecseseznamem"/>
        <w:numPr>
          <w:ilvl w:val="0"/>
          <w:numId w:val="8"/>
        </w:numPr>
        <w:shd w:val="clear" w:color="auto" w:fill="FFFFFF"/>
        <w:spacing w:before="300" w:after="300" w:line="360" w:lineRule="atLeast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  <w:r w:rsidRPr="00F36063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V</w:t>
      </w:r>
      <w:r w:rsidRPr="00F36063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ýchova a vzdělávání žáků se speciálními vzdělávacími potřebami</w:t>
      </w:r>
    </w:p>
    <w:p w14:paraId="52EDF572" w14:textId="77777777" w:rsidR="00F36063" w:rsidRDefault="00C87B78" w:rsidP="00182365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Výchovný poradce ve škole tradičně </w:t>
      </w:r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zabezpečuje především administrativní a metodickou část této oblasti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. Mezi jeho činnosti </w:t>
      </w:r>
      <w:proofErr w:type="gramStart"/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patří</w:t>
      </w:r>
      <w:proofErr w:type="gramEnd"/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především zprostředkování </w:t>
      </w:r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diagnostiky speciálních vzdělávacích potřeb, evidence zpráv z vyšetření žáků ve školských poradenských zařízeních a koordinace vzniku a plnění individuálních vzdělávacích plánů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 (dále IVP) pro integrované žáky.</w:t>
      </w:r>
    </w:p>
    <w:p w14:paraId="3F19DF1F" w14:textId="77777777" w:rsidR="00F36063" w:rsidRDefault="00C87B78" w:rsidP="00182365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Prvním úkolem v této oblasti je zprostředkování diagnostiky speciálních vzdělávacích potřeb a evidence zpráv z vyšetření žáků ve školských poradenských zařízeních. Výchovný poradce koordinuje vyšetření žáků ve školských poradenských zařízeních.</w:t>
      </w:r>
    </w:p>
    <w:p w14:paraId="3EC701CE" w14:textId="137856B6" w:rsidR="00182365" w:rsidRDefault="00C87B78" w:rsidP="00182365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Návrh na vyšetření žáka dává většinou třídní učitel vždy po konzultaci s rodičem, požádat o</w:t>
      </w:r>
      <w:r w:rsidR="0020412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 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vyšetření může i rodič. Vzhledem k tomu, že při odeslání žáka na vyšetření do školského poradenského zařízení dochází k poskytnutí informací o dítěti, je vhodné, aby rodič </w:t>
      </w:r>
      <w:r w:rsidR="00204125"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podepsal,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jak souhlas s vyšetřením žáka ve školském poradenském zařízení, který se na vyšetření</w:t>
      </w:r>
      <w:r w:rsidR="0020412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o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desílá společně s</w:t>
      </w:r>
      <w:r w:rsidR="0020412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 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vyplněným dotazníkem, tak souhlas s poskytnutím informací o dítěti, jenž se stává součástí poradenské dokumentace žáka ve škole.</w:t>
      </w:r>
    </w:p>
    <w:p w14:paraId="56F4275F" w14:textId="0A99A73E" w:rsidR="00C87B78" w:rsidRPr="00C87B78" w:rsidRDefault="00C87B78" w:rsidP="00182365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Dotazník vybraného školského poradenského zařízení </w:t>
      </w:r>
      <w:r w:rsidR="00D641DD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vyplňuje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třídní učitel ve spolupráci s</w:t>
      </w:r>
      <w:r w:rsidR="0020412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 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dalšími vyučujícími žáka. </w:t>
      </w:r>
      <w:r w:rsidR="00D641DD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ýchovný poradce vyplněný dotazník </w:t>
      </w:r>
      <w:r w:rsidR="00D641DD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kontroluje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, v případě potřeby dopl</w:t>
      </w:r>
      <w:r w:rsidR="00D53FF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ňuje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a </w:t>
      </w:r>
      <w:r w:rsidR="00D53FF8"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zajiš</w:t>
      </w:r>
      <w:r w:rsidR="00D53FF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ťuje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jeho odeslání. Jakmile do školy přijde zpráva z vyšetření nebo ji přinese zákonný zástupce žáka, výchovný poradce ji zaevid</w:t>
      </w:r>
      <w:r w:rsidR="00D53FF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uje </w:t>
      </w:r>
      <w:r w:rsidR="000E08C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a předává informace t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řídnímu učiteli i ostatním vyučujícím žáka.</w:t>
      </w:r>
    </w:p>
    <w:p w14:paraId="5BD92B2F" w14:textId="77777777" w:rsidR="00F96CA5" w:rsidRDefault="00C87B78" w:rsidP="001C4A73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Se zprávou z pedagogicko-psychologického vyšetření žáka je ve škole </w:t>
      </w:r>
      <w:r w:rsidR="000E08C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zacházeno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 režimu důvěrné. Výchovný poradce </w:t>
      </w:r>
      <w:r w:rsidR="000E08C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z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akládá originály zpráv z vyšetření do dokumentace žáka, kopii z vyšetření předá třídnímu učiteli žáka a ten ji nakládá</w:t>
      </w:r>
      <w:r w:rsidR="001C4A73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se zprávami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 režimu důvěrné</w:t>
      </w:r>
      <w:r w:rsidR="001C4A73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.</w:t>
      </w:r>
      <w:r w:rsidR="00F96CA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</w:t>
      </w:r>
    </w:p>
    <w:p w14:paraId="18402FC8" w14:textId="48516419" w:rsidR="00C87B78" w:rsidRPr="00C87B78" w:rsidRDefault="00C87B78" w:rsidP="00F96CA5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Výchovný poradce ve školách koordinuje také vznik IVP pro integrované žáky. Úkolem výchovného poradce je zajistit, aby IVP byl včas vytvořen a obsahoval všechny náležitosti</w:t>
      </w:r>
      <w:r w:rsidR="00E00C53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, poskytuje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metodickou pomoc učitelům při práci s těmito žáky</w:t>
      </w:r>
      <w:r w:rsidR="0016637B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. Plnění plánu IVP je vyhodnocováno 1x ročně.</w:t>
      </w:r>
    </w:p>
    <w:p w14:paraId="5F160757" w14:textId="77777777" w:rsidR="0016637B" w:rsidRDefault="0016637B" w:rsidP="00182365">
      <w:pPr>
        <w:shd w:val="clear" w:color="auto" w:fill="FFFFFF"/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</w:p>
    <w:p w14:paraId="7175BAA2" w14:textId="7579DCBC" w:rsidR="00C87B78" w:rsidRPr="0016637B" w:rsidRDefault="00C87B78" w:rsidP="0016637B">
      <w:pPr>
        <w:pStyle w:val="Odstavecseseznamem"/>
        <w:numPr>
          <w:ilvl w:val="0"/>
          <w:numId w:val="8"/>
        </w:numPr>
        <w:shd w:val="clear" w:color="auto" w:fill="FFFFFF"/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  <w:r w:rsidRPr="0016637B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Péče o žáky s neprospěchem a žáky nadané</w:t>
      </w:r>
    </w:p>
    <w:p w14:paraId="16B4DDE4" w14:textId="77777777" w:rsidR="00393137" w:rsidRDefault="00393137" w:rsidP="00393137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</w:t>
      </w:r>
      <w:r w:rsidR="00C87B78"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ýchovn</w:t>
      </w:r>
      <w:r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ý </w:t>
      </w:r>
      <w:r w:rsidR="00C87B78"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poradce </w:t>
      </w:r>
      <w:r w:rsidR="00C87B78"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vyhledává žák</w:t>
      </w:r>
      <w:r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y</w:t>
      </w:r>
      <w:r w:rsidR="00C87B78"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 xml:space="preserve">, jejichž vývoj a vzdělávání vyžadují zvláštní pozornost, a </w:t>
      </w:r>
      <w:r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 xml:space="preserve">spolupracuje při přípravě návrhů </w:t>
      </w:r>
      <w:r w:rsidR="00C87B78"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na další péči o tyto žáky</w:t>
      </w:r>
      <w:r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</w:t>
      </w:r>
      <w:r w:rsidR="00C87B78"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s třídními učiteli těchto žáků, vyhodnocuje závěry pedagogických rad.</w:t>
      </w:r>
    </w:p>
    <w:p w14:paraId="4540E747" w14:textId="77B3EF0E" w:rsidR="00C87B78" w:rsidRPr="00C87B78" w:rsidRDefault="00C87B78" w:rsidP="00E145AE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Ohroženou skupinou jsou ve škole především žáci s neprospěchem. Opakovaný neúspěch a nedostatečný prospěch se většinou negativně projeví i v chování žáků, tito žáci mohou negativně ovlivňovat klima třídy i pracovní morálku ostatních žáků. Proto je třeba věnovat jim zvýšenou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lastRenderedPageBreak/>
        <w:t>pozornost. U žáků s neprospěchem je nutné co nejrychleji hledat příčiny neprospěchu. Výchovný poradce pomáhá při hledání řešení v těch případech, kdy je příčinou neprospěchu dlouhodobá absence, porucha učení nebo podprůměrný intelekt žáků. Problémem je nechuť žáků ke školní práci a nezájem o plnění základních školních povinností.</w:t>
      </w:r>
      <w:r w:rsidR="005B1A14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Při vzniku problému </w:t>
      </w:r>
      <w:r w:rsidR="00B2003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výchovný poradce spolu s t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řídní</w:t>
      </w:r>
      <w:r w:rsidR="00B2003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m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učitele</w:t>
      </w:r>
      <w:r w:rsidR="00B2003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m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, vyučující</w:t>
      </w:r>
      <w:r w:rsidR="00B2003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m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problémového předmětu, rodiče</w:t>
      </w:r>
      <w:r w:rsidR="00B2003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m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a žák</w:t>
      </w:r>
      <w:r w:rsidR="00B2003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em popisuje vzniklou situace a navrhuje </w:t>
      </w:r>
      <w:r w:rsidR="001F0D4E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prostředky vedoucí </w:t>
      </w:r>
      <w:proofErr w:type="gramStart"/>
      <w:r w:rsidR="001F0D4E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k</w:t>
      </w:r>
      <w:proofErr w:type="gramEnd"/>
      <w:r w:rsidR="001F0D4E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 zlepšení nebo odstranění daného problému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. </w:t>
      </w:r>
    </w:p>
    <w:p w14:paraId="65F57AD6" w14:textId="157ACB0C" w:rsidR="00C87B78" w:rsidRDefault="00C87B78" w:rsidP="001F0D4E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 případě, že je ve škole žák, u něhož jsou projevy mimořádného nadání, může dát třídní učitel podnět k vyšetření v pedagogicko-psychologické poradně. Toto je třeba projednat se zákonným zástupcem žáka, výchovný poradce vyšetření žáka zprostředkuje. Pokud školské poradenské zařízení na základě vyšetření žáka </w:t>
      </w:r>
      <w:proofErr w:type="gramStart"/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doporučí</w:t>
      </w:r>
      <w:proofErr w:type="gramEnd"/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jeho vzdělávání podle IVP, koordinuje výchovný poradce jeho vznik a plnění. </w:t>
      </w:r>
    </w:p>
    <w:p w14:paraId="6D9CFDE1" w14:textId="77777777" w:rsidR="006A6BFA" w:rsidRPr="00C87B78" w:rsidRDefault="006A6BFA" w:rsidP="001F0D4E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</w:p>
    <w:p w14:paraId="1576611A" w14:textId="77777777" w:rsidR="00C87B78" w:rsidRPr="006A6BFA" w:rsidRDefault="00C87B78" w:rsidP="006A6BFA">
      <w:pPr>
        <w:pStyle w:val="Odstavecseseznamem"/>
        <w:numPr>
          <w:ilvl w:val="0"/>
          <w:numId w:val="8"/>
        </w:numPr>
        <w:shd w:val="clear" w:color="auto" w:fill="FFFFFF"/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  <w:r w:rsidRPr="006A6BFA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Řešení problémů spojených se školní docházkou</w:t>
      </w:r>
    </w:p>
    <w:p w14:paraId="4856E6DB" w14:textId="77777777" w:rsidR="006A6BFA" w:rsidRDefault="00C87B78" w:rsidP="006A6BFA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Problémy spojené se školní docházkou zahrnují řešení neomluvené a zvýšené omluvené absence. Úkoly výchovného poradce jsou dány metodickým pokynem MŠMT č. j. 10 194/2002-14, k jednotnému postupu při uvolňování a omlouvání žáků z vyučování, prevenci a postihu záškoláctví.</w:t>
      </w:r>
      <w:r w:rsidR="006A6BFA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</w:t>
      </w:r>
    </w:p>
    <w:p w14:paraId="69455E01" w14:textId="60E8F9AD" w:rsidR="006A6BFA" w:rsidRDefault="00C87B78" w:rsidP="006A6BFA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Výchovný poradce </w:t>
      </w:r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eviduje neomluvenou absenci žáků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. V souladu s uvedeným metodickým pokynem projednává společně s třídním učitelem žáka, se žákem a rodiči neomluvenou absenci do</w:t>
      </w:r>
      <w:r w:rsidR="006A6BFA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 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deseti hodin. Při opakované neomluvené absenci nebo v případech, kdy neomluvená absence přesáhne deset hodin, se výchovný poradce účastní jednání výchovné komise svolané ředitelem školy. Z jednání musí být vždy pořízen zápis s uvedeným opatřením, jež by mělo vést k eliminaci neomluvené absence, a také s kázeňským postihem za neomluvenou absenci, jehož udělení bude v souladu se školním řádem navrhovat třídní učitel.</w:t>
      </w:r>
    </w:p>
    <w:p w14:paraId="7977D17F" w14:textId="51E214D0" w:rsidR="00C87B78" w:rsidRPr="00C87B78" w:rsidRDefault="00C87B78" w:rsidP="006A6BFA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 rámci prevence neomluvené absence je důležité sledovat i zvýšenou omluvenou absenci, za kterou může být „skryté záškoláctví“, obzvlášť pokud se jedná o po sobě následující krátkodobé absence žáka ve škole. Zvýšená absence také často bývá jednou z příčin školního neprospěchu.</w:t>
      </w:r>
    </w:p>
    <w:p w14:paraId="08E5444C" w14:textId="77777777" w:rsidR="00C551B2" w:rsidRDefault="00C551B2" w:rsidP="00C551B2">
      <w:pPr>
        <w:pStyle w:val="Odstavecseseznamem"/>
        <w:shd w:val="clear" w:color="auto" w:fill="FFFFFF"/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</w:p>
    <w:p w14:paraId="7AB457B1" w14:textId="161D9B8E" w:rsidR="00C87B78" w:rsidRPr="00C551B2" w:rsidRDefault="00C87B78" w:rsidP="00C551B2">
      <w:pPr>
        <w:pStyle w:val="Odstavecseseznamem"/>
        <w:numPr>
          <w:ilvl w:val="0"/>
          <w:numId w:val="8"/>
        </w:numPr>
        <w:shd w:val="clear" w:color="auto" w:fill="FFFFFF"/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  <w:r w:rsidRPr="00C551B2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Řešení problémových situací ve škole</w:t>
      </w:r>
    </w:p>
    <w:p w14:paraId="6FF16E59" w14:textId="40C7FD9E" w:rsidR="00C551B2" w:rsidRDefault="00C87B78" w:rsidP="00C551B2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Výchovný poradce </w:t>
      </w:r>
      <w:proofErr w:type="gramStart"/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řeší</w:t>
      </w:r>
      <w:proofErr w:type="gramEnd"/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 xml:space="preserve"> závažn</w:t>
      </w:r>
      <w:r w:rsidR="002D027C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é</w:t>
      </w:r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 xml:space="preserve"> přestupk</w:t>
      </w:r>
      <w:r w:rsidR="002D027C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y</w:t>
      </w:r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 xml:space="preserve"> proti školnímu řádu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. </w:t>
      </w:r>
      <w:r w:rsidR="002D027C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Při řešení spolupracuje </w:t>
      </w:r>
      <w:r w:rsidR="007D7500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s třídními učiteli, metodikem prevence, speciálním pedagogem, rodiči a žákem.</w:t>
      </w:r>
      <w:r w:rsidR="00A33245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</w:t>
      </w:r>
    </w:p>
    <w:p w14:paraId="29E8ED08" w14:textId="77777777" w:rsidR="00A053B0" w:rsidRDefault="00C87B78" w:rsidP="00C551B2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 rámci konzultačních hodin výchovný poradce poskytuje </w:t>
      </w:r>
      <w:r w:rsidRPr="00C87B78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konzultace žákům, rodičům i kolegům k problémům spojeným s nekázní žáků a neplněním školních povinností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. S učiteli výchovný poradce konzultuje také řešení problémů ve třídních kolektivech.</w:t>
      </w:r>
    </w:p>
    <w:p w14:paraId="73952D1D" w14:textId="18E064E5" w:rsidR="00C87B78" w:rsidRDefault="00C87B78" w:rsidP="00C551B2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Výchovný poradce </w:t>
      </w:r>
      <w:r w:rsidR="00A053B0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spolupracuje p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ři řešení závažných problémů s nejbližším místním orgánem sociálně-právní ochrany dětí, tj. s oddělením či odborem péče o dítě či sociální prevence. Pokud škola vyčerpá všechny možnosti k řešení závažných problémů a náprava se </w:t>
      </w:r>
      <w:proofErr w:type="gramStart"/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nedaří</w:t>
      </w:r>
      <w:proofErr w:type="gramEnd"/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, může výchovný poradce zprostředkovat předání případu tomuto místnímu orgánu. </w:t>
      </w:r>
    </w:p>
    <w:p w14:paraId="56852817" w14:textId="77777777" w:rsidR="00D8498C" w:rsidRPr="00C87B78" w:rsidRDefault="00D8498C" w:rsidP="00C551B2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</w:p>
    <w:p w14:paraId="3CF0AFA4" w14:textId="724B011A" w:rsidR="00C87B78" w:rsidRPr="00D8498C" w:rsidRDefault="00C87B78" w:rsidP="00D8498C">
      <w:pPr>
        <w:pStyle w:val="Odstavecseseznamem"/>
        <w:numPr>
          <w:ilvl w:val="0"/>
          <w:numId w:val="8"/>
        </w:numPr>
        <w:shd w:val="clear" w:color="auto" w:fill="FFFFFF"/>
        <w:spacing w:before="120" w:after="0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</w:pPr>
      <w:r w:rsidRPr="00D8498C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V</w:t>
      </w:r>
      <w:r w:rsidR="00ED21D7">
        <w:rPr>
          <w:rFonts w:asciiTheme="minorHAnsi" w:eastAsia="Times New Roman" w:hAnsiTheme="minorHAnsi" w:cstheme="minorHAnsi"/>
          <w:b/>
          <w:bCs/>
          <w:color w:val="232731"/>
          <w:sz w:val="22"/>
          <w:szCs w:val="22"/>
          <w:lang w:eastAsia="cs-CZ"/>
        </w:rPr>
        <w:t>edení dokumentace</w:t>
      </w:r>
    </w:p>
    <w:p w14:paraId="281B8FDE" w14:textId="77777777" w:rsidR="00ED21D7" w:rsidRDefault="00C87B78" w:rsidP="00ED21D7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Škola vede </w:t>
      </w:r>
      <w:r w:rsidR="00ED21D7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dokumentaci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o poradenských službách poskytovaných školním psychologem nebo speciálním pedagogem dokumentaci podle odst. 1 písm. a) až d) a o poradenských službách poskytovaných školním metodikem prevence nebo výchovným poradcem dokumentaci podle odst. 1 písm. b).</w:t>
      </w:r>
    </w:p>
    <w:p w14:paraId="66BDD214" w14:textId="0CF1D617" w:rsidR="00C87B78" w:rsidRPr="00C87B78" w:rsidRDefault="00C87B78" w:rsidP="00ED21D7">
      <w:pPr>
        <w:shd w:val="clear" w:color="auto" w:fill="FFFFFF"/>
        <w:spacing w:before="120" w:after="0" w:line="240" w:lineRule="auto"/>
        <w:ind w:firstLine="360"/>
        <w:jc w:val="both"/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</w:pP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Výchovný poradce </w:t>
      </w:r>
      <w:r w:rsidR="00ED21D7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vede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dokumentaci o vyšetřeních, jejich výsledcích a poskytnuté péči individuální i skupinové.</w:t>
      </w:r>
      <w:r w:rsidR="00ED21D7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 </w:t>
      </w:r>
      <w:r w:rsidR="00074753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>Náplň práce výchovného poradce j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t xml:space="preserve">e legislativně vymezena, stanoveny jsou požadavky na </w:t>
      </w:r>
      <w:r w:rsidRPr="00C87B78">
        <w:rPr>
          <w:rFonts w:asciiTheme="minorHAnsi" w:eastAsia="Times New Roman" w:hAnsiTheme="minorHAnsi" w:cstheme="minorHAnsi"/>
          <w:color w:val="232731"/>
          <w:sz w:val="22"/>
          <w:szCs w:val="22"/>
          <w:lang w:eastAsia="cs-CZ"/>
        </w:rPr>
        <w:lastRenderedPageBreak/>
        <w:t>jeho vzdělání, na služby, které poskytuje žákům, rodičům, vedení školy i pedagogům školy. Výchovný poradce úzce spolupracuje s vedením školy, projednává s ním fungování poradenských služeb. Kvalitu jím poskytovaných poradenských služeb ovlivňuje vedení školy vytvářením odpovídajících podmínek pro jeho činnost.</w:t>
      </w:r>
    </w:p>
    <w:p w14:paraId="089E8002" w14:textId="77777777" w:rsidR="00C87B78" w:rsidRPr="00150590" w:rsidRDefault="00C87B78" w:rsidP="0015059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cs-CZ"/>
        </w:rPr>
      </w:pPr>
    </w:p>
    <w:sectPr w:rsidR="00C87B78" w:rsidRPr="00150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D03D" w14:textId="77777777" w:rsidR="007676AC" w:rsidRDefault="007676AC" w:rsidP="00D679D1">
      <w:pPr>
        <w:spacing w:after="0" w:line="240" w:lineRule="auto"/>
      </w:pPr>
      <w:r>
        <w:separator/>
      </w:r>
    </w:p>
  </w:endnote>
  <w:endnote w:type="continuationSeparator" w:id="0">
    <w:p w14:paraId="1FAB986A" w14:textId="77777777" w:rsidR="007676AC" w:rsidRDefault="007676AC" w:rsidP="00D6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685693"/>
      <w:docPartObj>
        <w:docPartGallery w:val="Page Numbers (Bottom of Page)"/>
        <w:docPartUnique/>
      </w:docPartObj>
    </w:sdtPr>
    <w:sdtContent>
      <w:p w14:paraId="6FC76A69" w14:textId="62B20EA2" w:rsidR="00ED260E" w:rsidRDefault="00ED26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E41F8" w14:textId="0E33AED9" w:rsidR="00D679D1" w:rsidRPr="00D679D1" w:rsidRDefault="00D679D1" w:rsidP="00D679D1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EBF7" w14:textId="77777777" w:rsidR="007676AC" w:rsidRDefault="007676AC" w:rsidP="00D679D1">
      <w:pPr>
        <w:spacing w:after="0" w:line="240" w:lineRule="auto"/>
      </w:pPr>
      <w:r>
        <w:separator/>
      </w:r>
    </w:p>
  </w:footnote>
  <w:footnote w:type="continuationSeparator" w:id="0">
    <w:p w14:paraId="4A586E0B" w14:textId="77777777" w:rsidR="007676AC" w:rsidRDefault="007676AC" w:rsidP="00D6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F987" w14:textId="77777777" w:rsidR="00D679D1" w:rsidRPr="00D679D1" w:rsidRDefault="00D679D1" w:rsidP="00D679D1">
    <w:pPr>
      <w:pStyle w:val="Zhlav"/>
      <w:jc w:val="center"/>
      <w:rPr>
        <w:sz w:val="20"/>
        <w:szCs w:val="20"/>
      </w:rPr>
    </w:pPr>
    <w:r w:rsidRPr="00D679D1">
      <w:rPr>
        <w:sz w:val="20"/>
        <w:szCs w:val="20"/>
      </w:rPr>
      <w:t>Základní škola a mateřská škola, Třinec, Kaštanová 412,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36F"/>
      </v:shape>
    </w:pict>
  </w:numPicBullet>
  <w:abstractNum w:abstractNumId="0" w15:restartNumberingAfterBreak="0">
    <w:nsid w:val="1A6411F5"/>
    <w:multiLevelType w:val="multilevel"/>
    <w:tmpl w:val="34A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434AA"/>
    <w:multiLevelType w:val="multilevel"/>
    <w:tmpl w:val="556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610AA"/>
    <w:multiLevelType w:val="multilevel"/>
    <w:tmpl w:val="FDE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63317"/>
    <w:multiLevelType w:val="multilevel"/>
    <w:tmpl w:val="53F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44F5C"/>
    <w:multiLevelType w:val="multilevel"/>
    <w:tmpl w:val="982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666A4"/>
    <w:multiLevelType w:val="multilevel"/>
    <w:tmpl w:val="E3BE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B780E"/>
    <w:multiLevelType w:val="hybridMultilevel"/>
    <w:tmpl w:val="BF4EB08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75A80"/>
    <w:multiLevelType w:val="multilevel"/>
    <w:tmpl w:val="35E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455817">
    <w:abstractNumId w:val="7"/>
  </w:num>
  <w:num w:numId="2" w16cid:durableId="900288568">
    <w:abstractNumId w:val="1"/>
  </w:num>
  <w:num w:numId="3" w16cid:durableId="397900813">
    <w:abstractNumId w:val="2"/>
  </w:num>
  <w:num w:numId="4" w16cid:durableId="2044941219">
    <w:abstractNumId w:val="3"/>
  </w:num>
  <w:num w:numId="5" w16cid:durableId="1851405631">
    <w:abstractNumId w:val="4"/>
  </w:num>
  <w:num w:numId="6" w16cid:durableId="650452774">
    <w:abstractNumId w:val="0"/>
  </w:num>
  <w:num w:numId="7" w16cid:durableId="1421559779">
    <w:abstractNumId w:val="5"/>
  </w:num>
  <w:num w:numId="8" w16cid:durableId="1451168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58"/>
    <w:rsid w:val="00074753"/>
    <w:rsid w:val="000E08C8"/>
    <w:rsid w:val="00150590"/>
    <w:rsid w:val="0016637B"/>
    <w:rsid w:val="00182365"/>
    <w:rsid w:val="001A502C"/>
    <w:rsid w:val="001C4A73"/>
    <w:rsid w:val="001F0D4E"/>
    <w:rsid w:val="00204125"/>
    <w:rsid w:val="002D027C"/>
    <w:rsid w:val="00393137"/>
    <w:rsid w:val="003C14B3"/>
    <w:rsid w:val="003F2B9E"/>
    <w:rsid w:val="003F5A42"/>
    <w:rsid w:val="00552C76"/>
    <w:rsid w:val="005B1A14"/>
    <w:rsid w:val="006A6BFA"/>
    <w:rsid w:val="007676AC"/>
    <w:rsid w:val="007D7500"/>
    <w:rsid w:val="0080435E"/>
    <w:rsid w:val="008612A7"/>
    <w:rsid w:val="00A053B0"/>
    <w:rsid w:val="00A33245"/>
    <w:rsid w:val="00B17058"/>
    <w:rsid w:val="00B20035"/>
    <w:rsid w:val="00B617DE"/>
    <w:rsid w:val="00B8306F"/>
    <w:rsid w:val="00C551B2"/>
    <w:rsid w:val="00C87B78"/>
    <w:rsid w:val="00D53FF8"/>
    <w:rsid w:val="00D641DD"/>
    <w:rsid w:val="00D679D1"/>
    <w:rsid w:val="00D8498C"/>
    <w:rsid w:val="00E00C53"/>
    <w:rsid w:val="00E145AE"/>
    <w:rsid w:val="00ED21D7"/>
    <w:rsid w:val="00ED260E"/>
    <w:rsid w:val="00F36063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EAC6"/>
  <w15:docId w15:val="{0EFDC077-68D3-40A4-BA5C-5373BC5A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1705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17058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17058"/>
    <w:rPr>
      <w:rFonts w:eastAsia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17058"/>
    <w:rPr>
      <w:rFonts w:eastAsia="Times New Roman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7058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B1705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6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9D1"/>
  </w:style>
  <w:style w:type="paragraph" w:styleId="Zpat">
    <w:name w:val="footer"/>
    <w:basedOn w:val="Normln"/>
    <w:link w:val="ZpatChar"/>
    <w:uiPriority w:val="99"/>
    <w:unhideWhenUsed/>
    <w:rsid w:val="00D6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9D1"/>
  </w:style>
  <w:style w:type="character" w:styleId="Hypertextovodkaz">
    <w:name w:val="Hyperlink"/>
    <w:basedOn w:val="Standardnpsmoodstavce"/>
    <w:uiPriority w:val="99"/>
    <w:unhideWhenUsed/>
    <w:rsid w:val="00C87B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7B7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87B78"/>
    <w:rPr>
      <w:b/>
      <w:bCs/>
    </w:rPr>
  </w:style>
  <w:style w:type="paragraph" w:styleId="Odstavecseseznamem">
    <w:name w:val="List Paragraph"/>
    <w:basedOn w:val="Normln"/>
    <w:uiPriority w:val="34"/>
    <w:qFormat/>
    <w:rsid w:val="00F36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1356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7ZŠ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Kišová</dc:creator>
  <cp:keywords/>
  <dc:description/>
  <cp:lastModifiedBy>Iveta Hudzietzová</cp:lastModifiedBy>
  <cp:revision>32</cp:revision>
  <dcterms:created xsi:type="dcterms:W3CDTF">2023-08-25T07:44:00Z</dcterms:created>
  <dcterms:modified xsi:type="dcterms:W3CDTF">2023-08-25T08:19:00Z</dcterms:modified>
</cp:coreProperties>
</file>